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7CC" w:rsidRPr="00BD2AFE" w:rsidRDefault="004537CC" w:rsidP="00BD2AFE">
      <w:pPr>
        <w:spacing w:line="360" w:lineRule="auto"/>
        <w:rPr>
          <w:rFonts w:ascii="Times New Roman" w:hAnsi="Times New Roman" w:cs="Times New Roman"/>
          <w:sz w:val="24"/>
          <w:szCs w:val="24"/>
        </w:rPr>
      </w:pPr>
      <w:r w:rsidRPr="00267729">
        <w:rPr>
          <w:rFonts w:ascii="Times New Roman" w:hAnsi="Times New Roman" w:cs="Times New Roman"/>
          <w:b/>
          <w:i/>
          <w:sz w:val="24"/>
          <w:szCs w:val="24"/>
        </w:rPr>
        <w:t>Why the SEC so vehement in their stance that non-GAAP metrics should NOT be used</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Most companies have for decade used metrics that are not in compliance with the Generally Accepted Accounting Principles (GAAP) and international financial reporting standards (IFRS), such metrics are used as supplements to the companies’ official financial statements. Such metrics in compliance with the GAAP are referred to as the Non-GAAP metrics and they include free cash flows, operational funds, adjusted revenues, adjusted earnings, adjusted EPS, adjusted EBITDA (earnings before interest, taxes, depreciation, and amortization) and net debt</w:t>
      </w:r>
      <w:r w:rsidR="00BD2AFE">
        <w:rPr>
          <w:rStyle w:val="FootnoteReference"/>
          <w:rFonts w:ascii="Times New Roman" w:hAnsi="Times New Roman" w:cs="Times New Roman"/>
          <w:sz w:val="24"/>
          <w:szCs w:val="24"/>
        </w:rPr>
        <w:footnoteReference w:id="1"/>
      </w:r>
      <w:r w:rsidRPr="00267729">
        <w:rPr>
          <w:rFonts w:ascii="Times New Roman" w:hAnsi="Times New Roman" w:cs="Times New Roman"/>
          <w:sz w:val="24"/>
          <w:szCs w:val="24"/>
        </w:rPr>
        <w:t>.</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SEC reasons that every company devise its own method of calculating the non-GAAP contents hence not easy to compare the metrics with other companies operating under the same industry</w:t>
      </w:r>
      <w:r w:rsidR="00BD2AFE">
        <w:rPr>
          <w:rStyle w:val="FootnoteReference"/>
          <w:rFonts w:ascii="Times New Roman" w:hAnsi="Times New Roman" w:cs="Times New Roman"/>
          <w:sz w:val="24"/>
          <w:szCs w:val="24"/>
        </w:rPr>
        <w:footnoteReference w:id="2"/>
      </w:r>
      <w:r w:rsidRPr="00267729">
        <w:rPr>
          <w:rFonts w:ascii="Times New Roman" w:hAnsi="Times New Roman" w:cs="Times New Roman"/>
          <w:sz w:val="24"/>
          <w:szCs w:val="24"/>
        </w:rPr>
        <w:t xml:space="preserve">. It is also not easy to compare the metrics from one year to another with the company. SEC outlined that they have recently experienced a troubling trend when examining the financial statements and communications of public companies in at least a dozen countries.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Non-GAAP metrics are capable of posing a problem to investors as well as harm a company by obscuring its financial health, overstating a company growth status beyond the support of GAAP measurements, and giving generous pay to executives beyond the Board members justification. SEC expresses that any company’s Board members, top executives, compliance officers, and corporate strategists must ensure that any alternative used by the company should improve transparency and reduce partial disclosure in the financial statements.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Non-GAAP financial metrics have increased among the large companies. Third party reports, like analysts’ reports, normally use non-GAAP measures without referring to GAAP measures. Recently, some companies do point on non-GAA profits but fail to point out GAAP </w:t>
      </w:r>
      <w:r w:rsidRPr="00267729">
        <w:rPr>
          <w:rFonts w:ascii="Times New Roman" w:hAnsi="Times New Roman" w:cs="Times New Roman"/>
          <w:sz w:val="24"/>
          <w:szCs w:val="24"/>
        </w:rPr>
        <w:lastRenderedPageBreak/>
        <w:t>losses</w:t>
      </w:r>
      <w:r w:rsidR="00BD2AFE">
        <w:rPr>
          <w:rStyle w:val="FootnoteReference"/>
          <w:rFonts w:ascii="Times New Roman" w:hAnsi="Times New Roman" w:cs="Times New Roman"/>
          <w:sz w:val="24"/>
          <w:szCs w:val="24"/>
        </w:rPr>
        <w:footnoteReference w:id="3"/>
      </w:r>
      <w:r w:rsidRPr="00267729">
        <w:rPr>
          <w:rFonts w:ascii="Times New Roman" w:hAnsi="Times New Roman" w:cs="Times New Roman"/>
          <w:sz w:val="24"/>
          <w:szCs w:val="24"/>
        </w:rPr>
        <w:t>. Many settings show that Non-GAAP measures have taken on a life of their own. Non-GAAP measures usually suggest an alternative way of counting things that have already been measured by the official figure. This makes the company uses non-GAAP measures to present earnings without deducting one or many expenses as required by GAAP</w:t>
      </w:r>
      <w:r w:rsidR="00BD2AFE">
        <w:rPr>
          <w:rStyle w:val="FootnoteReference"/>
          <w:rFonts w:ascii="Times New Roman" w:hAnsi="Times New Roman" w:cs="Times New Roman"/>
          <w:sz w:val="24"/>
          <w:szCs w:val="24"/>
        </w:rPr>
        <w:footnoteReference w:id="4"/>
      </w:r>
      <w:r w:rsidRPr="00267729">
        <w:rPr>
          <w:rFonts w:ascii="Times New Roman" w:hAnsi="Times New Roman" w:cs="Times New Roman"/>
          <w:sz w:val="24"/>
          <w:szCs w:val="24"/>
        </w:rPr>
        <w:t xml:space="preserve">. As much as financials prepared under non-GAAP may show the ability of a company to deliver earnings that are sustainable, they do not clarify whether the use of non-GAAP to expand the understanding of the users of the financial statements or to improve the way the business is perceived. For example, in the report of Pepsi Company, Inc., there was an inclusive of 3-page reconciliation of GAAP and non-GAAP information. </w:t>
      </w:r>
    </w:p>
    <w:p w:rsidR="004537CC" w:rsidRPr="00267729" w:rsidRDefault="004537CC" w:rsidP="00BD2AFE">
      <w:pPr>
        <w:spacing w:line="360" w:lineRule="auto"/>
        <w:rPr>
          <w:rFonts w:ascii="Times New Roman" w:hAnsi="Times New Roman" w:cs="Times New Roman"/>
          <w:b/>
          <w:i/>
          <w:sz w:val="24"/>
          <w:szCs w:val="24"/>
        </w:rPr>
      </w:pPr>
      <w:r w:rsidRPr="00267729">
        <w:rPr>
          <w:rFonts w:ascii="Times New Roman" w:hAnsi="Times New Roman" w:cs="Times New Roman"/>
          <w:b/>
          <w:i/>
          <w:sz w:val="24"/>
          <w:szCs w:val="24"/>
        </w:rPr>
        <w:t>Whether the use of non-GAAP financial metrics is an attempt to mislead investors</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The use of non-GAAP financial metrics misleads investors. The use of non-GAAP financial in corporations is increasing at a higher rate. Most companies in S&amp;P 500 do report some alternative version of earnings apart along with the financials calculated in conformity with the GAAP. It is observed that the difference between GAAP and non-GAAP earnings is increasing. A research carried out in 2015 by the financial reporting experts Jack </w:t>
      </w:r>
      <w:proofErr w:type="spellStart"/>
      <w:r w:rsidRPr="00267729">
        <w:rPr>
          <w:rFonts w:ascii="Times New Roman" w:hAnsi="Times New Roman" w:cs="Times New Roman"/>
          <w:sz w:val="24"/>
          <w:szCs w:val="24"/>
        </w:rPr>
        <w:t>Ciesielski</w:t>
      </w:r>
      <w:proofErr w:type="spellEnd"/>
      <w:r w:rsidRPr="00267729">
        <w:rPr>
          <w:rFonts w:ascii="Times New Roman" w:hAnsi="Times New Roman" w:cs="Times New Roman"/>
          <w:sz w:val="24"/>
          <w:szCs w:val="24"/>
        </w:rPr>
        <w:t xml:space="preserve"> and Mark O’Sullivan showed that non-GAAP income reported by companies was higher than GAAP net income by 93.6 billion dollars</w:t>
      </w:r>
      <w:r w:rsidR="00BD2AFE">
        <w:rPr>
          <w:rStyle w:val="FootnoteReference"/>
          <w:rFonts w:ascii="Times New Roman" w:hAnsi="Times New Roman" w:cs="Times New Roman"/>
          <w:sz w:val="24"/>
          <w:szCs w:val="24"/>
        </w:rPr>
        <w:footnoteReference w:id="5"/>
      </w:r>
      <w:r w:rsidRPr="00267729">
        <w:rPr>
          <w:rFonts w:ascii="Times New Roman" w:hAnsi="Times New Roman" w:cs="Times New Roman"/>
          <w:sz w:val="24"/>
          <w:szCs w:val="24"/>
        </w:rPr>
        <w:t xml:space="preserve">. The difference between non-GAAP net income and GAAP net income in 2015 increased to 241 billion dollars. This translate to attempt by companies to downplay the GAAP numbers therefore misleading investors and other users who depend on the financial reports to make investment decisions.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lastRenderedPageBreak/>
        <w:t>Many public companies use non-GAAP earnings to determine executive compensation and CEO’S bonus to the target earnings. Investors may be deceived that the target is reached by use of non-GAAP earnings which is not determined by deducting all the expenses from the calculation of the earnings. Inflated executive compensation and CEO bonus are not healthy for a company because the more companies’ CEOs are paid, the worse the stock performance. The research done by the Audit Analytics for the period 2011 to 2015 showed that formal GAAP earnings restatements were almost twice the aggressive non-GAAP earnings (6.5% versus 3.5%). Audit analytics showed that 11% of companies reporting under non-GAAP have material internal control system weaknesses</w:t>
      </w:r>
      <w:r w:rsidR="00BD2AFE">
        <w:rPr>
          <w:rStyle w:val="FootnoteReference"/>
          <w:rFonts w:ascii="Times New Roman" w:hAnsi="Times New Roman" w:cs="Times New Roman"/>
          <w:sz w:val="24"/>
          <w:szCs w:val="24"/>
        </w:rPr>
        <w:footnoteReference w:id="6"/>
      </w:r>
      <w:r w:rsidRPr="00267729">
        <w:rPr>
          <w:rFonts w:ascii="Times New Roman" w:hAnsi="Times New Roman" w:cs="Times New Roman"/>
          <w:sz w:val="24"/>
          <w:szCs w:val="24"/>
        </w:rPr>
        <w:t xml:space="preserve">. The bottom line of the inappropriate pattern in non-GAAP is that (1) when non-GAAP earnings are incorporated in executive rewards, there will be much money paid to the company CEOs than it would have been when GAAP is used; this leads to inferior stock performance thereby lowering shareholders’ wealth. The aim of investors in a company is that their wealth and company profits are maximized. (2) use of non-GAAP reporting aggressively does not prove a true and fair view of company financial performance and position.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Performance of the company tends to suffer as investors are downplayed by the non-GAAP earnings. Therefore, it means that investors are making decisions based on inappropriate profitability. Investors depend on the company profitability performance to determine the amount of return on their investments, return on the company resources and the margin by which profit has been earned. </w:t>
      </w:r>
    </w:p>
    <w:p w:rsidR="004537CC" w:rsidRDefault="004537CC" w:rsidP="00BD2AFE">
      <w:pPr>
        <w:spacing w:line="360" w:lineRule="auto"/>
        <w:rPr>
          <w:rFonts w:ascii="Times New Roman" w:hAnsi="Times New Roman" w:cs="Times New Roman"/>
          <w:sz w:val="24"/>
          <w:szCs w:val="24"/>
        </w:rPr>
      </w:pPr>
    </w:p>
    <w:p w:rsidR="005A1319" w:rsidRDefault="005A1319" w:rsidP="00BD2AFE">
      <w:pPr>
        <w:spacing w:line="360" w:lineRule="auto"/>
        <w:rPr>
          <w:rFonts w:ascii="Times New Roman" w:hAnsi="Times New Roman" w:cs="Times New Roman"/>
          <w:sz w:val="24"/>
          <w:szCs w:val="24"/>
        </w:rPr>
      </w:pPr>
    </w:p>
    <w:p w:rsidR="005A1319" w:rsidRDefault="005A1319" w:rsidP="00BD2AFE">
      <w:pPr>
        <w:spacing w:line="36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50740488"/>
        <w:docPartObj>
          <w:docPartGallery w:val="Bibliographies"/>
          <w:docPartUnique/>
        </w:docPartObj>
      </w:sdtPr>
      <w:sdtEndPr>
        <w:rPr>
          <w:rFonts w:ascii="Times New Roman" w:hAnsi="Times New Roman" w:cs="Times New Roman"/>
          <w:sz w:val="24"/>
          <w:szCs w:val="24"/>
        </w:rPr>
      </w:sdtEndPr>
      <w:sdtContent>
        <w:p w:rsidR="005A1319" w:rsidRPr="00BD2AFE" w:rsidRDefault="00BD2AFE" w:rsidP="00BD2AFE">
          <w:pPr>
            <w:pStyle w:val="Heading1"/>
            <w:spacing w:line="360" w:lineRule="auto"/>
            <w:jc w:val="center"/>
            <w:rPr>
              <w:rFonts w:ascii="Times New Roman" w:hAnsi="Times New Roman" w:cs="Times New Roman"/>
              <w:color w:val="auto"/>
              <w:sz w:val="24"/>
              <w:szCs w:val="24"/>
            </w:rPr>
          </w:pPr>
          <w:r w:rsidRPr="00BD2AFE">
            <w:rPr>
              <w:rFonts w:ascii="Times New Roman" w:eastAsiaTheme="minorHAnsi" w:hAnsi="Times New Roman" w:cs="Times New Roman"/>
              <w:color w:val="auto"/>
              <w:sz w:val="22"/>
              <w:szCs w:val="22"/>
            </w:rPr>
            <w:t xml:space="preserve">Works </w:t>
          </w:r>
          <w:r w:rsidRPr="00BD2AFE">
            <w:rPr>
              <w:rFonts w:ascii="Times New Roman" w:hAnsi="Times New Roman" w:cs="Times New Roman"/>
              <w:color w:val="auto"/>
              <w:sz w:val="24"/>
              <w:szCs w:val="24"/>
            </w:rPr>
            <w:t>Cited</w:t>
          </w:r>
        </w:p>
        <w:sdt>
          <w:sdtPr>
            <w:rPr>
              <w:rFonts w:ascii="Times New Roman" w:hAnsi="Times New Roman" w:cs="Times New Roman"/>
              <w:sz w:val="24"/>
              <w:szCs w:val="24"/>
            </w:rPr>
            <w:id w:val="-573587230"/>
            <w:bibliography/>
          </w:sdtPr>
          <w:sdtEndPr/>
          <w:sdtContent>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sz w:val="24"/>
                  <w:szCs w:val="24"/>
                </w:rPr>
                <w:fldChar w:fldCharType="begin"/>
              </w:r>
              <w:r w:rsidRPr="005A1319">
                <w:rPr>
                  <w:rFonts w:ascii="Times New Roman" w:hAnsi="Times New Roman" w:cs="Times New Roman"/>
                  <w:sz w:val="24"/>
                  <w:szCs w:val="24"/>
                </w:rPr>
                <w:instrText xml:space="preserve"> BIBLIOGRAPHY </w:instrText>
              </w:r>
              <w:r w:rsidRPr="005A1319">
                <w:rPr>
                  <w:rFonts w:ascii="Times New Roman" w:hAnsi="Times New Roman" w:cs="Times New Roman"/>
                  <w:sz w:val="24"/>
                  <w:szCs w:val="24"/>
                </w:rPr>
                <w:fldChar w:fldCharType="separate"/>
              </w:r>
              <w:r w:rsidRPr="005A1319">
                <w:rPr>
                  <w:rFonts w:ascii="Times New Roman" w:hAnsi="Times New Roman" w:cs="Times New Roman"/>
                  <w:noProof/>
                  <w:sz w:val="24"/>
                  <w:szCs w:val="24"/>
                </w:rPr>
                <w:t xml:space="preserve">Black, E. L. (2016). The ethical reporting of NON-GAAP performance measures. . </w:t>
              </w:r>
              <w:r w:rsidRPr="005A1319">
                <w:rPr>
                  <w:rFonts w:ascii="Times New Roman" w:hAnsi="Times New Roman" w:cs="Times New Roman"/>
                  <w:i/>
                  <w:iCs/>
                  <w:noProof/>
                  <w:sz w:val="24"/>
                  <w:szCs w:val="24"/>
                </w:rPr>
                <w:t>Revista Contabilidade &amp; Finanças</w:t>
              </w:r>
              <w:r w:rsidRPr="005A1319">
                <w:rPr>
                  <w:rFonts w:ascii="Times New Roman" w:hAnsi="Times New Roman" w:cs="Times New Roman"/>
                  <w:noProof/>
                  <w:sz w:val="24"/>
                  <w:szCs w:val="24"/>
                </w:rPr>
                <w:t>, 27(70), 7-11.</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Forbes.com. (2018, October 9). </w:t>
              </w:r>
              <w:r w:rsidRPr="005A1319">
                <w:rPr>
                  <w:rFonts w:ascii="Times New Roman" w:hAnsi="Times New Roman" w:cs="Times New Roman"/>
                  <w:i/>
                  <w:iCs/>
                  <w:noProof/>
                  <w:sz w:val="24"/>
                  <w:szCs w:val="24"/>
                </w:rPr>
                <w:t>Forbes</w:t>
              </w:r>
              <w:r w:rsidRPr="005A1319">
                <w:rPr>
                  <w:rFonts w:ascii="Times New Roman" w:hAnsi="Times New Roman" w:cs="Times New Roman"/>
                  <w:noProof/>
                  <w:sz w:val="24"/>
                  <w:szCs w:val="24"/>
                </w:rPr>
                <w:t>. Retrieved from https://www.forbes.com/sites/investor/2016/11/28/is-non-gaap-reporting-hurting-your-portfolio/#775fc47916c7</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Non-gaap-reporting. (2017, September 19). </w:t>
              </w:r>
              <w:r w:rsidRPr="005A1319">
                <w:rPr>
                  <w:rFonts w:ascii="Times New Roman" w:hAnsi="Times New Roman" w:cs="Times New Roman"/>
                  <w:i/>
                  <w:iCs/>
                  <w:noProof/>
                  <w:sz w:val="24"/>
                  <w:szCs w:val="24"/>
                </w:rPr>
                <w:t>CPAjournal</w:t>
              </w:r>
              <w:r w:rsidRPr="005A1319">
                <w:rPr>
                  <w:rFonts w:ascii="Times New Roman" w:hAnsi="Times New Roman" w:cs="Times New Roman"/>
                  <w:noProof/>
                  <w:sz w:val="24"/>
                  <w:szCs w:val="24"/>
                </w:rPr>
                <w:t>. Retrieved from https://www.cpajournal.com/2017/09/19/non-gaap-reporting-sampler/</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SEC-Filling. (2017, October). </w:t>
              </w:r>
              <w:r w:rsidRPr="005A1319">
                <w:rPr>
                  <w:rFonts w:ascii="Times New Roman" w:hAnsi="Times New Roman" w:cs="Times New Roman"/>
                  <w:i/>
                  <w:iCs/>
                  <w:noProof/>
                  <w:sz w:val="24"/>
                  <w:szCs w:val="24"/>
                </w:rPr>
                <w:t>goingconcern.com/</w:t>
              </w:r>
              <w:r w:rsidRPr="005A1319">
                <w:rPr>
                  <w:rFonts w:ascii="Times New Roman" w:hAnsi="Times New Roman" w:cs="Times New Roman"/>
                  <w:noProof/>
                  <w:sz w:val="24"/>
                  <w:szCs w:val="24"/>
                </w:rPr>
                <w:t>. Retrieved from http://goingconcern.com/sec-fines-company-failing-mention-they-paid-ceos-lavish-perks-and-some-non-gaap-stuff-too/</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Sherman, H. D. (2018). The Pitfalls of Non-GAAP Metrics. . </w:t>
              </w:r>
              <w:r w:rsidRPr="005A1319">
                <w:rPr>
                  <w:rFonts w:ascii="Times New Roman" w:hAnsi="Times New Roman" w:cs="Times New Roman"/>
                  <w:i/>
                  <w:iCs/>
                  <w:noProof/>
                  <w:sz w:val="24"/>
                  <w:szCs w:val="24"/>
                </w:rPr>
                <w:t>MIT Sloan Management Review</w:t>
              </w:r>
              <w:r w:rsidRPr="005A1319">
                <w:rPr>
                  <w:rFonts w:ascii="Times New Roman" w:hAnsi="Times New Roman" w:cs="Times New Roman"/>
                  <w:noProof/>
                  <w:sz w:val="24"/>
                  <w:szCs w:val="24"/>
                </w:rPr>
                <w:t>, 59(2), 57-63.</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Sloanreview. (2018, October 9). </w:t>
              </w:r>
              <w:r w:rsidRPr="005A1319">
                <w:rPr>
                  <w:rFonts w:ascii="Times New Roman" w:hAnsi="Times New Roman" w:cs="Times New Roman"/>
                  <w:i/>
                  <w:iCs/>
                  <w:noProof/>
                  <w:sz w:val="24"/>
                  <w:szCs w:val="24"/>
                </w:rPr>
                <w:t>Sloanreview</w:t>
              </w:r>
              <w:r w:rsidRPr="005A1319">
                <w:rPr>
                  <w:rFonts w:ascii="Times New Roman" w:hAnsi="Times New Roman" w:cs="Times New Roman"/>
                  <w:noProof/>
                  <w:sz w:val="24"/>
                  <w:szCs w:val="24"/>
                </w:rPr>
                <w:t>. Retrieved from https://sloanreview.mit.edu/article/the-pitfalls-of-non-gaap-metrics/</w:t>
              </w:r>
            </w:p>
            <w:p w:rsidR="005A1319" w:rsidRPr="005A1319" w:rsidRDefault="005A1319" w:rsidP="00BD2AFE">
              <w:pPr>
                <w:spacing w:line="360" w:lineRule="auto"/>
                <w:rPr>
                  <w:rFonts w:ascii="Times New Roman" w:hAnsi="Times New Roman" w:cs="Times New Roman"/>
                  <w:sz w:val="24"/>
                  <w:szCs w:val="24"/>
                </w:rPr>
              </w:pPr>
              <w:r w:rsidRPr="005A1319">
                <w:rPr>
                  <w:rFonts w:ascii="Times New Roman" w:hAnsi="Times New Roman" w:cs="Times New Roman"/>
                  <w:b/>
                  <w:bCs/>
                  <w:noProof/>
                  <w:sz w:val="24"/>
                  <w:szCs w:val="24"/>
                </w:rPr>
                <w:fldChar w:fldCharType="end"/>
              </w:r>
            </w:p>
          </w:sdtContent>
        </w:sdt>
      </w:sdtContent>
    </w:sdt>
    <w:p w:rsidR="005A1319" w:rsidRPr="00267729" w:rsidRDefault="005A1319" w:rsidP="00BD2AFE">
      <w:pPr>
        <w:spacing w:line="360" w:lineRule="auto"/>
        <w:rPr>
          <w:rFonts w:ascii="Times New Roman" w:hAnsi="Times New Roman" w:cs="Times New Roman"/>
          <w:sz w:val="24"/>
          <w:szCs w:val="24"/>
        </w:rPr>
      </w:pPr>
    </w:p>
    <w:p w:rsidR="00C7128D" w:rsidRPr="00267729" w:rsidRDefault="00C7128D" w:rsidP="00BD2AFE">
      <w:pPr>
        <w:spacing w:line="360" w:lineRule="auto"/>
        <w:rPr>
          <w:rFonts w:ascii="Times New Roman" w:hAnsi="Times New Roman" w:cs="Times New Roman"/>
          <w:sz w:val="24"/>
          <w:szCs w:val="24"/>
        </w:rPr>
      </w:pPr>
      <w:bookmarkStart w:id="0" w:name="_GoBack"/>
      <w:bookmarkEnd w:id="0"/>
    </w:p>
    <w:sectPr w:rsidR="00C7128D" w:rsidRPr="00267729" w:rsidSect="001B0E9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D6E" w:rsidRDefault="00662D6E" w:rsidP="001B0E9E">
      <w:pPr>
        <w:spacing w:after="0" w:line="240" w:lineRule="auto"/>
      </w:pPr>
      <w:r>
        <w:separator/>
      </w:r>
    </w:p>
  </w:endnote>
  <w:endnote w:type="continuationSeparator" w:id="0">
    <w:p w:rsidR="00662D6E" w:rsidRDefault="00662D6E" w:rsidP="001B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D6E" w:rsidRDefault="00662D6E" w:rsidP="001B0E9E">
      <w:pPr>
        <w:spacing w:after="0" w:line="240" w:lineRule="auto"/>
      </w:pPr>
      <w:r>
        <w:separator/>
      </w:r>
    </w:p>
  </w:footnote>
  <w:footnote w:type="continuationSeparator" w:id="0">
    <w:p w:rsidR="00662D6E" w:rsidRDefault="00662D6E" w:rsidP="001B0E9E">
      <w:pPr>
        <w:spacing w:after="0" w:line="240" w:lineRule="auto"/>
      </w:pPr>
      <w:r>
        <w:continuationSeparator/>
      </w:r>
    </w:p>
  </w:footnote>
  <w:footnote w:id="1">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Black, E. L. (2016). The ethical reporting of NON-GAAP performance measures. . </w:t>
      </w:r>
      <w:r w:rsidRPr="005A1319">
        <w:rPr>
          <w:rFonts w:ascii="Times New Roman" w:hAnsi="Times New Roman" w:cs="Times New Roman"/>
          <w:i/>
          <w:iCs/>
          <w:noProof/>
          <w:sz w:val="24"/>
          <w:szCs w:val="24"/>
        </w:rPr>
        <w:t>Revista Contabilidade &amp; Finanças</w:t>
      </w:r>
      <w:r w:rsidRPr="005A1319">
        <w:rPr>
          <w:rFonts w:ascii="Times New Roman" w:hAnsi="Times New Roman" w:cs="Times New Roman"/>
          <w:noProof/>
          <w:sz w:val="24"/>
          <w:szCs w:val="24"/>
        </w:rPr>
        <w:t>, 27(70), 7-11.</w:t>
      </w:r>
    </w:p>
  </w:footnote>
  <w:footnote w:id="2">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Sherman, H. D. (2018). The Pitfalls of Non-GAAP Metrics. . </w:t>
      </w:r>
      <w:r w:rsidRPr="005A1319">
        <w:rPr>
          <w:rFonts w:ascii="Times New Roman" w:hAnsi="Times New Roman" w:cs="Times New Roman"/>
          <w:i/>
          <w:iCs/>
          <w:noProof/>
          <w:sz w:val="24"/>
          <w:szCs w:val="24"/>
        </w:rPr>
        <w:t>MIT Sloan Management Review</w:t>
      </w:r>
      <w:r w:rsidRPr="005A1319">
        <w:rPr>
          <w:rFonts w:ascii="Times New Roman" w:hAnsi="Times New Roman" w:cs="Times New Roman"/>
          <w:noProof/>
          <w:sz w:val="24"/>
          <w:szCs w:val="24"/>
        </w:rPr>
        <w:t>, 59(2), 57-63.</w:t>
      </w:r>
    </w:p>
    <w:p w:rsidR="00BD2AFE" w:rsidRDefault="00BD2AFE">
      <w:pPr>
        <w:pStyle w:val="FootnoteText"/>
      </w:pPr>
    </w:p>
  </w:footnote>
  <w:footnote w:id="3">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SEC-Filling. (2017, October). </w:t>
      </w:r>
      <w:r w:rsidRPr="005A1319">
        <w:rPr>
          <w:rFonts w:ascii="Times New Roman" w:hAnsi="Times New Roman" w:cs="Times New Roman"/>
          <w:i/>
          <w:iCs/>
          <w:noProof/>
          <w:sz w:val="24"/>
          <w:szCs w:val="24"/>
        </w:rPr>
        <w:t>goingconcern.com/</w:t>
      </w:r>
      <w:r w:rsidRPr="005A1319">
        <w:rPr>
          <w:rFonts w:ascii="Times New Roman" w:hAnsi="Times New Roman" w:cs="Times New Roman"/>
          <w:noProof/>
          <w:sz w:val="24"/>
          <w:szCs w:val="24"/>
        </w:rPr>
        <w:t>. Retrieved from http://goingconcern.com/sec-fines-company-failing-mention-they-paid-ceos-lavish-perks-and-some-non-gaap-stuff-too/</w:t>
      </w:r>
    </w:p>
  </w:footnote>
  <w:footnote w:id="4">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on-gaap-reporting. (2017, September 19). </w:t>
      </w:r>
      <w:r w:rsidRPr="005A1319">
        <w:rPr>
          <w:rFonts w:ascii="Times New Roman" w:hAnsi="Times New Roman" w:cs="Times New Roman"/>
          <w:i/>
          <w:iCs/>
          <w:noProof/>
          <w:sz w:val="24"/>
          <w:szCs w:val="24"/>
        </w:rPr>
        <w:t>CPAjournal</w:t>
      </w:r>
      <w:r w:rsidRPr="005A1319">
        <w:rPr>
          <w:rFonts w:ascii="Times New Roman" w:hAnsi="Times New Roman" w:cs="Times New Roman"/>
          <w:noProof/>
          <w:sz w:val="24"/>
          <w:szCs w:val="24"/>
        </w:rPr>
        <w:t>. Retrieved from https://www.cpajournal.com/2017/09/19/non-gaap-reporting-sampler/</w:t>
      </w:r>
    </w:p>
  </w:footnote>
  <w:footnote w:id="5">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Sloanreview. (2018, October 9). </w:t>
      </w:r>
      <w:r w:rsidRPr="005A1319">
        <w:rPr>
          <w:rFonts w:ascii="Times New Roman" w:hAnsi="Times New Roman" w:cs="Times New Roman"/>
          <w:i/>
          <w:iCs/>
          <w:noProof/>
          <w:sz w:val="24"/>
          <w:szCs w:val="24"/>
        </w:rPr>
        <w:t>Sloanreview</w:t>
      </w:r>
      <w:r w:rsidRPr="005A1319">
        <w:rPr>
          <w:rFonts w:ascii="Times New Roman" w:hAnsi="Times New Roman" w:cs="Times New Roman"/>
          <w:noProof/>
          <w:sz w:val="24"/>
          <w:szCs w:val="24"/>
        </w:rPr>
        <w:t>. Retrieved from https://sloanreview.mit.edu/article/the-pitfalls-of-non-gaap-metrics/</w:t>
      </w:r>
    </w:p>
    <w:p w:rsidR="00BD2AFE" w:rsidRDefault="00BD2AFE">
      <w:pPr>
        <w:pStyle w:val="FootnoteText"/>
      </w:pPr>
    </w:p>
  </w:footnote>
  <w:footnote w:id="6">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Forbes.com. (2018, October 9). </w:t>
      </w:r>
      <w:r w:rsidRPr="005A1319">
        <w:rPr>
          <w:rFonts w:ascii="Times New Roman" w:hAnsi="Times New Roman" w:cs="Times New Roman"/>
          <w:i/>
          <w:iCs/>
          <w:noProof/>
          <w:sz w:val="24"/>
          <w:szCs w:val="24"/>
        </w:rPr>
        <w:t>Forbes</w:t>
      </w:r>
      <w:r w:rsidRPr="005A1319">
        <w:rPr>
          <w:rFonts w:ascii="Times New Roman" w:hAnsi="Times New Roman" w:cs="Times New Roman"/>
          <w:noProof/>
          <w:sz w:val="24"/>
          <w:szCs w:val="24"/>
        </w:rPr>
        <w:t>. Retrieved from https://www.forbes.com/sites/investor/2016/11/28/is-non-gaap-reporting-hurting-your-portfolio/#775fc47916c7</w:t>
      </w:r>
    </w:p>
    <w:p w:rsidR="00BD2AFE" w:rsidRDefault="00BD2AFE">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3F"/>
    <w:rsid w:val="000E23DD"/>
    <w:rsid w:val="000F22C2"/>
    <w:rsid w:val="00176115"/>
    <w:rsid w:val="001B0E9E"/>
    <w:rsid w:val="00267729"/>
    <w:rsid w:val="002D5A28"/>
    <w:rsid w:val="0043629B"/>
    <w:rsid w:val="004537CC"/>
    <w:rsid w:val="004762D2"/>
    <w:rsid w:val="0048109C"/>
    <w:rsid w:val="00497003"/>
    <w:rsid w:val="004B7A1B"/>
    <w:rsid w:val="004F20A1"/>
    <w:rsid w:val="00511A81"/>
    <w:rsid w:val="005A1319"/>
    <w:rsid w:val="00662D6E"/>
    <w:rsid w:val="007C1A15"/>
    <w:rsid w:val="007D2304"/>
    <w:rsid w:val="008C58E4"/>
    <w:rsid w:val="00916680"/>
    <w:rsid w:val="00942466"/>
    <w:rsid w:val="00966B0C"/>
    <w:rsid w:val="00AD6F0E"/>
    <w:rsid w:val="00B7213F"/>
    <w:rsid w:val="00B72B0A"/>
    <w:rsid w:val="00BD2AFE"/>
    <w:rsid w:val="00C45472"/>
    <w:rsid w:val="00C7128D"/>
    <w:rsid w:val="00C96C3F"/>
    <w:rsid w:val="00DB60E0"/>
    <w:rsid w:val="00E03F78"/>
    <w:rsid w:val="00E60556"/>
    <w:rsid w:val="00F17D1F"/>
    <w:rsid w:val="00F60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918F7-1FD8-4F91-85E9-28499CE2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13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28D"/>
    <w:rPr>
      <w:color w:val="0563C1" w:themeColor="hyperlink"/>
      <w:u w:val="single"/>
    </w:rPr>
  </w:style>
  <w:style w:type="paragraph" w:styleId="Header">
    <w:name w:val="header"/>
    <w:basedOn w:val="Normal"/>
    <w:link w:val="HeaderChar"/>
    <w:uiPriority w:val="99"/>
    <w:unhideWhenUsed/>
    <w:rsid w:val="001B0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E9E"/>
  </w:style>
  <w:style w:type="paragraph" w:styleId="Footer">
    <w:name w:val="footer"/>
    <w:basedOn w:val="Normal"/>
    <w:link w:val="FooterChar"/>
    <w:uiPriority w:val="99"/>
    <w:unhideWhenUsed/>
    <w:rsid w:val="001B0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E9E"/>
  </w:style>
  <w:style w:type="character" w:customStyle="1" w:styleId="Heading1Char">
    <w:name w:val="Heading 1 Char"/>
    <w:basedOn w:val="DefaultParagraphFont"/>
    <w:link w:val="Heading1"/>
    <w:uiPriority w:val="9"/>
    <w:rsid w:val="005A131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A1319"/>
  </w:style>
  <w:style w:type="paragraph" w:styleId="FootnoteText">
    <w:name w:val="footnote text"/>
    <w:basedOn w:val="Normal"/>
    <w:link w:val="FootnoteTextChar"/>
    <w:uiPriority w:val="99"/>
    <w:semiHidden/>
    <w:unhideWhenUsed/>
    <w:rsid w:val="00BD2A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2AFE"/>
    <w:rPr>
      <w:sz w:val="20"/>
      <w:szCs w:val="20"/>
    </w:rPr>
  </w:style>
  <w:style w:type="character" w:styleId="FootnoteReference">
    <w:name w:val="footnote reference"/>
    <w:basedOn w:val="DefaultParagraphFont"/>
    <w:uiPriority w:val="99"/>
    <w:semiHidden/>
    <w:unhideWhenUsed/>
    <w:rsid w:val="00BD2A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0838">
      <w:bodyDiv w:val="1"/>
      <w:marLeft w:val="0"/>
      <w:marRight w:val="0"/>
      <w:marTop w:val="0"/>
      <w:marBottom w:val="0"/>
      <w:divBdr>
        <w:top w:val="none" w:sz="0" w:space="0" w:color="auto"/>
        <w:left w:val="none" w:sz="0" w:space="0" w:color="auto"/>
        <w:bottom w:val="none" w:sz="0" w:space="0" w:color="auto"/>
        <w:right w:val="none" w:sz="0" w:space="0" w:color="auto"/>
      </w:divBdr>
    </w:div>
    <w:div w:id="177356998">
      <w:bodyDiv w:val="1"/>
      <w:marLeft w:val="0"/>
      <w:marRight w:val="0"/>
      <w:marTop w:val="0"/>
      <w:marBottom w:val="0"/>
      <w:divBdr>
        <w:top w:val="none" w:sz="0" w:space="0" w:color="auto"/>
        <w:left w:val="none" w:sz="0" w:space="0" w:color="auto"/>
        <w:bottom w:val="none" w:sz="0" w:space="0" w:color="auto"/>
        <w:right w:val="none" w:sz="0" w:space="0" w:color="auto"/>
      </w:divBdr>
    </w:div>
    <w:div w:id="387848209">
      <w:bodyDiv w:val="1"/>
      <w:marLeft w:val="0"/>
      <w:marRight w:val="0"/>
      <w:marTop w:val="0"/>
      <w:marBottom w:val="0"/>
      <w:divBdr>
        <w:top w:val="none" w:sz="0" w:space="0" w:color="auto"/>
        <w:left w:val="none" w:sz="0" w:space="0" w:color="auto"/>
        <w:bottom w:val="none" w:sz="0" w:space="0" w:color="auto"/>
        <w:right w:val="none" w:sz="0" w:space="0" w:color="auto"/>
      </w:divBdr>
    </w:div>
    <w:div w:id="687609914">
      <w:bodyDiv w:val="1"/>
      <w:marLeft w:val="0"/>
      <w:marRight w:val="0"/>
      <w:marTop w:val="0"/>
      <w:marBottom w:val="0"/>
      <w:divBdr>
        <w:top w:val="none" w:sz="0" w:space="0" w:color="auto"/>
        <w:left w:val="none" w:sz="0" w:space="0" w:color="auto"/>
        <w:bottom w:val="none" w:sz="0" w:space="0" w:color="auto"/>
        <w:right w:val="none" w:sz="0" w:space="0" w:color="auto"/>
      </w:divBdr>
    </w:div>
    <w:div w:id="831413343">
      <w:bodyDiv w:val="1"/>
      <w:marLeft w:val="0"/>
      <w:marRight w:val="0"/>
      <w:marTop w:val="0"/>
      <w:marBottom w:val="0"/>
      <w:divBdr>
        <w:top w:val="none" w:sz="0" w:space="0" w:color="auto"/>
        <w:left w:val="none" w:sz="0" w:space="0" w:color="auto"/>
        <w:bottom w:val="none" w:sz="0" w:space="0" w:color="auto"/>
        <w:right w:val="none" w:sz="0" w:space="0" w:color="auto"/>
      </w:divBdr>
    </w:div>
    <w:div w:id="1523788542">
      <w:bodyDiv w:val="1"/>
      <w:marLeft w:val="0"/>
      <w:marRight w:val="0"/>
      <w:marTop w:val="0"/>
      <w:marBottom w:val="0"/>
      <w:divBdr>
        <w:top w:val="none" w:sz="0" w:space="0" w:color="auto"/>
        <w:left w:val="none" w:sz="0" w:space="0" w:color="auto"/>
        <w:bottom w:val="none" w:sz="0" w:space="0" w:color="auto"/>
        <w:right w:val="none" w:sz="0" w:space="0" w:color="auto"/>
      </w:divBdr>
    </w:div>
    <w:div w:id="211963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Bla16</b:Tag>
    <b:SourceType>JournalArticle</b:SourceType>
    <b:Guid>{DBCBAB59-84E1-455D-BF7D-36D139D687E2}</b:Guid>
    <b:Title>The ethical reporting of NON-GAAP performance measures. </b:Title>
    <b:Year>2016</b:Year>
    <b:Author>
      <b:Author>
        <b:NameList>
          <b:Person>
            <b:Last>Black</b:Last>
            <b:First>E.</b:First>
            <b:Middle>L.</b:Middle>
          </b:Person>
        </b:NameList>
      </b:Author>
    </b:Author>
    <b:JournalName>Revista Contabilidade &amp; Finanças</b:JournalName>
    <b:Pages>27(70), 7-11.</b:Pages>
    <b:RefOrder>2</b:RefOrder>
  </b:Source>
  <b:Source>
    <b:Tag>She18</b:Tag>
    <b:SourceType>JournalArticle</b:SourceType>
    <b:Guid>{052D0713-B074-4AEC-B36C-9DEBF8634B94}</b:Guid>
    <b:Author>
      <b:Author>
        <b:NameList>
          <b:Person>
            <b:Last>Sherman</b:Last>
            <b:First>H.</b:First>
            <b:Middle>D., &amp; Young, S. D.</b:Middle>
          </b:Person>
        </b:NameList>
      </b:Author>
    </b:Author>
    <b:Title>The Pitfalls of Non-GAAP Metrics.  </b:Title>
    <b:JournalName>MIT Sloan Management Review</b:JournalName>
    <b:Year>2018</b:Year>
    <b:Pages>59(2), 57-63.</b:Pages>
    <b:RefOrder>1</b:RefOrder>
  </b:Source>
  <b:Source>
    <b:Tag>For18</b:Tag>
    <b:SourceType>InternetSite</b:SourceType>
    <b:Guid>{5879DDE8-7416-4E06-8D2A-363262F63B4F}</b:Guid>
    <b:Title>Forbes</b:Title>
    <b:Year>2018</b:Year>
    <b:Author>
      <b:Author>
        <b:NameList>
          <b:Person>
            <b:Last>Forbes.com</b:Last>
          </b:Person>
        </b:NameList>
      </b:Author>
    </b:Author>
    <b:Month>October</b:Month>
    <b:Day>9</b:Day>
    <b:URL>https://www.forbes.com/sites/investor/2016/11/28/is-non-gaap-reporting-hurting-your-portfolio/#775fc47916c7</b:URL>
    <b:RefOrder>3</b:RefOrder>
  </b:Source>
  <b:Source>
    <b:Tag>Slo18</b:Tag>
    <b:SourceType>InternetSite</b:SourceType>
    <b:Guid>{982BFAF0-F299-487E-9DE2-55EDBD1BC77F}</b:Guid>
    <b:Author>
      <b:Author>
        <b:NameList>
          <b:Person>
            <b:Last>Sloanreview</b:Last>
          </b:Person>
        </b:NameList>
      </b:Author>
    </b:Author>
    <b:Title>Sloanreview</b:Title>
    <b:Year>2018</b:Year>
    <b:Month>October</b:Month>
    <b:Day>9</b:Day>
    <b:URL>https://sloanreview.mit.edu/article/the-pitfalls-of-non-gaap-metrics/</b:URL>
    <b:RefOrder>4</b:RefOrder>
  </b:Source>
  <b:Source>
    <b:Tag>Non17</b:Tag>
    <b:SourceType>InternetSite</b:SourceType>
    <b:Guid>{78F837E6-36F9-4C44-A6EE-6734653D589E}</b:Guid>
    <b:Author>
      <b:Author>
        <b:NameList>
          <b:Person>
            <b:Last>Non-gaap-reporting</b:Last>
          </b:Person>
        </b:NameList>
      </b:Author>
    </b:Author>
    <b:Title>CPAjournal</b:Title>
    <b:Year>2017</b:Year>
    <b:Month>September</b:Month>
    <b:Day>19</b:Day>
    <b:URL>https://www.cpajournal.com/2017/09/19/non-gaap-reporting-sampler/</b:URL>
    <b:RefOrder>5</b:RefOrder>
  </b:Source>
  <b:Source>
    <b:Tag>SEC17</b:Tag>
    <b:SourceType>InternetSite</b:SourceType>
    <b:Guid>{F2291037-AB80-4AA3-BE4C-551DEC38CB2C}</b:Guid>
    <b:Author>
      <b:Author>
        <b:NameList>
          <b:Person>
            <b:Last>SEC-Filling</b:Last>
          </b:Person>
        </b:NameList>
      </b:Author>
    </b:Author>
    <b:Title>goingconcern.com/</b:Title>
    <b:Year>2017</b:Year>
    <b:Month>October</b:Month>
    <b:URL>http://goingconcern.com/sec-fines-company-failing-mention-they-paid-ceos-lavish-perks-and-some-non-gaap-stuff-too/</b:URL>
    <b:RefOrder>6</b:RefOrder>
  </b:Source>
</b:Sources>
</file>

<file path=customXml/itemProps1.xml><?xml version="1.0" encoding="utf-8"?>
<ds:datastoreItem xmlns:ds="http://schemas.openxmlformats.org/officeDocument/2006/customXml" ds:itemID="{AB8ADB55-4839-4052-B774-2A9F3171D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Alice</dc:creator>
  <cp:keywords/>
  <dc:description/>
  <cp:lastModifiedBy>Windows User</cp:lastModifiedBy>
  <cp:revision>2</cp:revision>
  <dcterms:created xsi:type="dcterms:W3CDTF">2018-10-09T16:56:00Z</dcterms:created>
  <dcterms:modified xsi:type="dcterms:W3CDTF">2018-10-09T16:56:00Z</dcterms:modified>
</cp:coreProperties>
</file>